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FDAD6" w14:textId="1D2A01F8" w:rsidR="005F341B" w:rsidRDefault="00C45EEF" w:rsidP="00C45EEF">
      <w:pPr>
        <w:pBdr>
          <w:bottom w:val="single" w:sz="4" w:space="1" w:color="auto"/>
        </w:pBdr>
        <w:spacing w:after="12"/>
        <w:rPr>
          <w:rFonts w:cstheme="majorHAnsi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Plan d’urgence</w:t>
      </w:r>
      <w:r w:rsidR="007F7F03">
        <w:rPr>
          <w:b/>
          <w:sz w:val="28"/>
          <w:szCs w:val="28"/>
        </w:rPr>
        <w:t> pour le traitement</w:t>
      </w:r>
      <w:r>
        <w:rPr>
          <w:b/>
          <w:sz w:val="28"/>
          <w:szCs w:val="28"/>
        </w:rPr>
        <w:t xml:space="preserve"> palliatif en cas d</w:t>
      </w:r>
      <w:r w:rsidR="007F7F03">
        <w:rPr>
          <w:b/>
          <w:sz w:val="28"/>
          <w:szCs w:val="28"/>
        </w:rPr>
        <w:t xml:space="preserve">’atteinte pulmonaire </w:t>
      </w:r>
      <w:r>
        <w:rPr>
          <w:b/>
          <w:sz w:val="28"/>
          <w:szCs w:val="28"/>
        </w:rPr>
        <w:t>due au coronavirus</w:t>
      </w:r>
    </w:p>
    <w:p w14:paraId="2B55625C" w14:textId="77777777" w:rsidR="00606EA8" w:rsidRPr="00A00C1D" w:rsidRDefault="00606EA8" w:rsidP="00606EA8"/>
    <w:p w14:paraId="05AB2237" w14:textId="77777777" w:rsidR="00606EA8" w:rsidRDefault="00606EA8" w:rsidP="00606EA8">
      <w:proofErr w:type="gramStart"/>
      <w:r>
        <w:t>Nom:…</w:t>
      </w:r>
      <w:proofErr w:type="gramEnd"/>
      <w:r>
        <w:t xml:space="preserve">………………………………….. </w:t>
      </w:r>
      <w:proofErr w:type="gramStart"/>
      <w:r>
        <w:t>Prénom:…</w:t>
      </w:r>
      <w:proofErr w:type="gramEnd"/>
      <w:r>
        <w:t>…………………………… Date de naissance: ………………………….</w:t>
      </w:r>
    </w:p>
    <w:p w14:paraId="114C53B4" w14:textId="77777777" w:rsidR="00606EA8" w:rsidRPr="00262554" w:rsidRDefault="00606EA8" w:rsidP="00606EA8">
      <w:pPr>
        <w:rPr>
          <w:sz w:val="10"/>
          <w:szCs w:val="10"/>
          <w:lang w:val="en-US"/>
        </w:rPr>
      </w:pPr>
    </w:p>
    <w:p w14:paraId="3833CAF3" w14:textId="0D7FF03D" w:rsidR="00606EA8" w:rsidRDefault="00606EA8" w:rsidP="00606EA8">
      <w:r>
        <w:t>Mon objectif thérapeutique en cas d’infection au coronavirus est l</w:t>
      </w:r>
      <w:r w:rsidR="007F7F03">
        <w:t>e soulagement</w:t>
      </w:r>
      <w:r>
        <w:t xml:space="preserve"> efficace des éventuelles souffrances. Je refuse toutefois l’hospitalisation et en particulier un traitement en soins intensifs, mais j’accepte l’aide et soins à domicile et le soutien de mon médecin de famille, et des soins palliatifs si nécessaires.</w:t>
      </w:r>
    </w:p>
    <w:p w14:paraId="35FDACB6" w14:textId="77777777" w:rsidR="00606EA8" w:rsidRPr="00432CF5" w:rsidRDefault="00606EA8" w:rsidP="00606EA8"/>
    <w:p w14:paraId="5FD79330" w14:textId="183426CB" w:rsidR="00606EA8" w:rsidRDefault="00606EA8" w:rsidP="00606EA8">
      <w:r>
        <w:t xml:space="preserve">Lieu, </w:t>
      </w:r>
      <w:proofErr w:type="gramStart"/>
      <w:r>
        <w:t>date:</w:t>
      </w:r>
      <w:proofErr w:type="gramEnd"/>
      <w:r>
        <w:t xml:space="preserve"> ………………………………… </w:t>
      </w:r>
      <w:r w:rsidR="00603639">
        <w:t>S</w:t>
      </w:r>
      <w:r>
        <w:t>ignature (patient/représentant):…………………………………………………</w:t>
      </w:r>
    </w:p>
    <w:p w14:paraId="6C3686CE" w14:textId="77777777" w:rsidR="00606EA8" w:rsidRPr="00432CF5" w:rsidRDefault="00606EA8" w:rsidP="00606EA8">
      <w:pPr>
        <w:rPr>
          <w:lang w:val="en-US"/>
        </w:rPr>
      </w:pPr>
    </w:p>
    <w:p w14:paraId="02DE7C09" w14:textId="52C92AE2" w:rsidR="00606EA8" w:rsidRDefault="00606EA8" w:rsidP="00606EA8">
      <w:r>
        <w:t>En cas d’apparition de symptômes, les mesures suivantes visant à soulager peuvent être réalisées par les patients, leurs proches ou l</w:t>
      </w:r>
      <w:r w:rsidR="00603639">
        <w:t>es</w:t>
      </w:r>
      <w:r>
        <w:t xml:space="preserve"> soins à domicile.</w:t>
      </w:r>
    </w:p>
    <w:p w14:paraId="2C4907AA" w14:textId="77777777" w:rsidR="00606EA8" w:rsidRPr="00A00C1D" w:rsidRDefault="00606EA8" w:rsidP="00606EA8">
      <w:pPr>
        <w:rPr>
          <w:sz w:val="10"/>
          <w:szCs w:val="10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376"/>
        <w:gridCol w:w="7825"/>
      </w:tblGrid>
      <w:tr w:rsidR="00606EA8" w:rsidRPr="0057028E" w14:paraId="3BD7F966" w14:textId="77777777" w:rsidTr="00432CF5">
        <w:tc>
          <w:tcPr>
            <w:tcW w:w="2376" w:type="dxa"/>
            <w:shd w:val="clear" w:color="auto" w:fill="B8CCE4" w:themeFill="accent1" w:themeFillTint="66"/>
          </w:tcPr>
          <w:p w14:paraId="08B7C68D" w14:textId="77777777" w:rsidR="00606EA8" w:rsidRPr="0057028E" w:rsidRDefault="00606EA8" w:rsidP="0099153A">
            <w:pPr>
              <w:rPr>
                <w:b/>
              </w:rPr>
            </w:pPr>
            <w:r>
              <w:rPr>
                <w:b/>
              </w:rPr>
              <w:t>Symptôme</w:t>
            </w:r>
          </w:p>
        </w:tc>
        <w:tc>
          <w:tcPr>
            <w:tcW w:w="7825" w:type="dxa"/>
            <w:shd w:val="clear" w:color="auto" w:fill="B8CCE4" w:themeFill="accent1" w:themeFillTint="66"/>
          </w:tcPr>
          <w:p w14:paraId="0D48C5C6" w14:textId="77777777" w:rsidR="00606EA8" w:rsidRPr="0057028E" w:rsidRDefault="00606EA8" w:rsidP="0099153A">
            <w:pPr>
              <w:rPr>
                <w:b/>
              </w:rPr>
            </w:pPr>
            <w:r>
              <w:rPr>
                <w:b/>
              </w:rPr>
              <w:t>Mesures (la posologie des médicaments doit être adaptée à chaque individu)</w:t>
            </w:r>
          </w:p>
        </w:tc>
      </w:tr>
      <w:tr w:rsidR="00606EA8" w14:paraId="79BE5FE1" w14:textId="77777777" w:rsidTr="00432CF5">
        <w:tc>
          <w:tcPr>
            <w:tcW w:w="2376" w:type="dxa"/>
          </w:tcPr>
          <w:p w14:paraId="678787EF" w14:textId="77777777" w:rsidR="00606EA8" w:rsidRDefault="00606EA8" w:rsidP="0099153A">
            <w:r>
              <w:t>Toux</w:t>
            </w:r>
          </w:p>
        </w:tc>
        <w:tc>
          <w:tcPr>
            <w:tcW w:w="7825" w:type="dxa"/>
          </w:tcPr>
          <w:p w14:paraId="5576B969" w14:textId="77777777" w:rsidR="00606EA8" w:rsidRDefault="00606EA8" w:rsidP="0099153A">
            <w:r>
              <w:t>Administrer dès que possible des médicaments contre la toux contenant de la codéine ou de la morphine (voir ci-dessous).</w:t>
            </w:r>
          </w:p>
          <w:p w14:paraId="46B3C5F7" w14:textId="77777777" w:rsidR="00606EA8" w:rsidRPr="005028D2" w:rsidRDefault="00606EA8" w:rsidP="0099153A">
            <w:r>
              <w:t>Appliquer de la crème hydratante sur les muqueuses nasales. Sucer des bonbons à la glycérine</w:t>
            </w:r>
          </w:p>
        </w:tc>
      </w:tr>
      <w:tr w:rsidR="00606EA8" w14:paraId="1ACB2BD1" w14:textId="77777777" w:rsidTr="00432CF5">
        <w:tc>
          <w:tcPr>
            <w:tcW w:w="2376" w:type="dxa"/>
          </w:tcPr>
          <w:p w14:paraId="17714210" w14:textId="5B88BB6A" w:rsidR="00606EA8" w:rsidRDefault="007F7F03" w:rsidP="0099153A">
            <w:r>
              <w:t>Dyspnée</w:t>
            </w:r>
          </w:p>
        </w:tc>
        <w:tc>
          <w:tcPr>
            <w:tcW w:w="7825" w:type="dxa"/>
          </w:tcPr>
          <w:p w14:paraId="6F001515" w14:textId="1113D89C" w:rsidR="00606EA8" w:rsidRPr="003F4CF7" w:rsidRDefault="00606EA8" w:rsidP="0099153A">
            <w:pPr>
              <w:rPr>
                <w:rFonts w:cstheme="majorHAnsi"/>
              </w:rPr>
            </w:pPr>
            <w:r>
              <w:t xml:space="preserve">Ouvrir les fenêtres, rehausser la tête de lit. </w:t>
            </w:r>
            <w:hyperlink r:id="rId7" w:history="1">
              <w:r>
                <w:rPr>
                  <w:rStyle w:val="Hyperlink"/>
                </w:rPr>
                <w:t>Positionnement en A</w:t>
              </w:r>
            </w:hyperlink>
            <w:r w:rsidR="00603639" w:rsidRPr="00603639">
              <w:rPr>
                <w:rStyle w:val="Hyperlink"/>
                <w:u w:val="none"/>
              </w:rPr>
              <w:t xml:space="preserve">. </w:t>
            </w:r>
            <w:hyperlink r:id="rId8" w:history="1">
              <w:r>
                <w:rPr>
                  <w:rStyle w:val="Hyperlink"/>
                </w:rPr>
                <w:t>Massage</w:t>
              </w:r>
            </w:hyperlink>
            <w:r>
              <w:t xml:space="preserve"> stimulant la respiration. Mobilisation. Le cas échéant, placer le ventilateur devant le visage.</w:t>
            </w:r>
          </w:p>
          <w:p w14:paraId="7135CC73" w14:textId="0F122816" w:rsidR="00606EA8" w:rsidRPr="003F4CF7" w:rsidRDefault="00603639" w:rsidP="0099153A">
            <w:pPr>
              <w:rPr>
                <w:rFonts w:cstheme="majorHAnsi"/>
              </w:rPr>
            </w:pPr>
            <w:r>
              <w:t>Opioides :</w:t>
            </w:r>
          </w:p>
          <w:p w14:paraId="37F14181" w14:textId="45BB27E6" w:rsidR="00606EA8" w:rsidRPr="003F4CF7" w:rsidRDefault="00606EA8" w:rsidP="00606EA8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Administrer 5 gouttes de morphine </w:t>
            </w:r>
            <w:r w:rsidR="00603639">
              <w:rPr>
                <w:rFonts w:asciiTheme="majorHAnsi" w:hAnsiTheme="majorHAnsi"/>
              </w:rPr>
              <w:t>à 2% en cas de difficulté respiratoire</w:t>
            </w:r>
            <w:r>
              <w:rPr>
                <w:rFonts w:asciiTheme="majorHAnsi" w:hAnsiTheme="majorHAnsi"/>
              </w:rPr>
              <w:t>. Répéter toutes les heures jusqu’à apaisement.</w:t>
            </w:r>
          </w:p>
          <w:p w14:paraId="3D6AB0BB" w14:textId="0F6B825B" w:rsidR="00606EA8" w:rsidRPr="003F4CF7" w:rsidRDefault="00606EA8" w:rsidP="00606EA8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En cas d’effet insuffisant ou si les gouttes ne peuvent pas être avalées, inject</w:t>
            </w:r>
            <w:r w:rsidR="00603639">
              <w:rPr>
                <w:rFonts w:asciiTheme="majorHAnsi" w:hAnsiTheme="majorHAnsi"/>
              </w:rPr>
              <w:t>er</w:t>
            </w:r>
            <w:r>
              <w:rPr>
                <w:rFonts w:asciiTheme="majorHAnsi" w:hAnsiTheme="majorHAnsi"/>
              </w:rPr>
              <w:t xml:space="preserve"> </w:t>
            </w:r>
            <w:r w:rsidR="00603639">
              <w:rPr>
                <w:rFonts w:asciiTheme="majorHAnsi" w:hAnsiTheme="majorHAnsi"/>
              </w:rPr>
              <w:t xml:space="preserve">morphine 5 mg en </w:t>
            </w:r>
            <w:r>
              <w:rPr>
                <w:rFonts w:asciiTheme="majorHAnsi" w:hAnsiTheme="majorHAnsi"/>
              </w:rPr>
              <w:t>sous-cutané</w:t>
            </w:r>
            <w:r w:rsidR="0060363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  <w:r w:rsidR="00603639">
              <w:rPr>
                <w:rFonts w:asciiTheme="majorHAnsi" w:hAnsiTheme="majorHAnsi"/>
              </w:rPr>
              <w:t>R</w:t>
            </w:r>
            <w:r>
              <w:rPr>
                <w:rFonts w:asciiTheme="majorHAnsi" w:hAnsiTheme="majorHAnsi"/>
              </w:rPr>
              <w:t>épét</w:t>
            </w:r>
            <w:r w:rsidR="00603639">
              <w:rPr>
                <w:rFonts w:asciiTheme="majorHAnsi" w:hAnsiTheme="majorHAnsi"/>
              </w:rPr>
              <w:t>er</w:t>
            </w:r>
            <w:r>
              <w:rPr>
                <w:rFonts w:asciiTheme="majorHAnsi" w:hAnsiTheme="majorHAnsi"/>
              </w:rPr>
              <w:t xml:space="preserve"> toutes les demi-heures</w:t>
            </w:r>
            <w:r w:rsidR="00603639">
              <w:rPr>
                <w:rFonts w:asciiTheme="majorHAnsi" w:hAnsiTheme="majorHAnsi"/>
              </w:rPr>
              <w:t xml:space="preserve"> </w:t>
            </w:r>
            <w:r w:rsidR="00603639" w:rsidRPr="00603639">
              <w:rPr>
                <w:rFonts w:asciiTheme="majorHAnsi" w:hAnsiTheme="majorHAnsi"/>
              </w:rPr>
              <w:t>jusqu’à apaisement</w:t>
            </w:r>
            <w:r w:rsidR="0060363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(préparation des injections</w:t>
            </w:r>
            <w:r w:rsidR="00603639">
              <w:rPr>
                <w:rFonts w:asciiTheme="majorHAnsi" w:hAnsiTheme="majorHAnsi"/>
              </w:rPr>
              <w:t xml:space="preserve"> sc</w:t>
            </w:r>
            <w:r>
              <w:rPr>
                <w:rFonts w:asciiTheme="majorHAnsi" w:hAnsiTheme="majorHAnsi"/>
              </w:rPr>
              <w:t xml:space="preserve"> par le personnel </w:t>
            </w:r>
            <w:r w:rsidR="00603639">
              <w:rPr>
                <w:rFonts w:asciiTheme="majorHAnsi" w:hAnsiTheme="majorHAnsi"/>
              </w:rPr>
              <w:t>soignant</w:t>
            </w:r>
            <w:r>
              <w:rPr>
                <w:rFonts w:asciiTheme="majorHAnsi" w:hAnsiTheme="majorHAnsi"/>
              </w:rPr>
              <w:t xml:space="preserve">, évent. </w:t>
            </w:r>
            <w:proofErr w:type="gramStart"/>
            <w:r w:rsidR="00AE27F6">
              <w:rPr>
                <w:rFonts w:asciiTheme="majorHAnsi" w:hAnsiTheme="majorHAnsi"/>
              </w:rPr>
              <w:t>p</w:t>
            </w:r>
            <w:r>
              <w:rPr>
                <w:rFonts w:asciiTheme="majorHAnsi" w:hAnsiTheme="majorHAnsi"/>
              </w:rPr>
              <w:t>oser</w:t>
            </w:r>
            <w:proofErr w:type="gramEnd"/>
            <w:r>
              <w:rPr>
                <w:rFonts w:asciiTheme="majorHAnsi" w:hAnsiTheme="majorHAnsi"/>
              </w:rPr>
              <w:t xml:space="preserve"> un</w:t>
            </w:r>
            <w:r w:rsidR="00603639">
              <w:rPr>
                <w:rFonts w:asciiTheme="majorHAnsi" w:hAnsiTheme="majorHAnsi"/>
              </w:rPr>
              <w:t xml:space="preserve"> </w:t>
            </w:r>
            <w:r w:rsidR="00AE27F6">
              <w:rPr>
                <w:rFonts w:asciiTheme="majorHAnsi" w:hAnsiTheme="majorHAnsi"/>
              </w:rPr>
              <w:t>cathéter</w:t>
            </w:r>
            <w:r w:rsidR="00603639">
              <w:rPr>
                <w:rFonts w:asciiTheme="majorHAnsi" w:hAnsiTheme="majorHAnsi"/>
              </w:rPr>
              <w:t xml:space="preserve"> sou</w:t>
            </w:r>
            <w:r w:rsidR="00AE27F6">
              <w:rPr>
                <w:rFonts w:asciiTheme="majorHAnsi" w:hAnsiTheme="majorHAnsi"/>
              </w:rPr>
              <w:t>s-cutané</w:t>
            </w:r>
            <w:r>
              <w:rPr>
                <w:rFonts w:asciiTheme="majorHAnsi" w:hAnsiTheme="majorHAnsi"/>
              </w:rPr>
              <w:t xml:space="preserve"> une largeur de main en dessous de la clavicule</w:t>
            </w:r>
            <w:r w:rsidR="00AE27F6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53597890" w14:textId="0859D653" w:rsidR="00606EA8" w:rsidRPr="00F538D8" w:rsidRDefault="00606EA8" w:rsidP="0099153A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Si plus de six réserves journalières de morphine sont nécessaires, informer le médecin pour qu’il prescrive des </w:t>
            </w:r>
            <w:r w:rsidR="00AE27F6">
              <w:rPr>
                <w:rFonts w:asciiTheme="majorHAnsi" w:hAnsiTheme="majorHAnsi"/>
              </w:rPr>
              <w:t>opioïdes à effet retard</w:t>
            </w:r>
            <w:r>
              <w:rPr>
                <w:rFonts w:asciiTheme="majorHAnsi" w:hAnsiTheme="majorHAnsi"/>
              </w:rPr>
              <w:t>. Il est également possible de procéder à des injections sous-cutanées de morphine 5 mg toutes les 4 à 6 heures. En cas d’application de patch de fentanyl, tenir compte de l’effet accru par la fièvre.</w:t>
            </w:r>
          </w:p>
          <w:p w14:paraId="2A730D1F" w14:textId="77777777" w:rsidR="00606EA8" w:rsidRDefault="00606EA8" w:rsidP="0099153A">
            <w:r>
              <w:t xml:space="preserve">En cas de saturation d’oxygène inférieure à 85%, utiliser si possible un </w:t>
            </w:r>
            <w:hyperlink r:id="rId9" w:history="1">
              <w:r>
                <w:rPr>
                  <w:rStyle w:val="Hyperlink"/>
                </w:rPr>
                <w:t>concentrateur d’oxygène</w:t>
              </w:r>
            </w:hyperlink>
            <w:r>
              <w:t xml:space="preserve"> </w:t>
            </w:r>
            <w:r>
              <w:sym w:font="Wingdings" w:char="F0E0"/>
            </w:r>
            <w:r>
              <w:t xml:space="preserve"> 2 litres/minute, évent. </w:t>
            </w:r>
            <w:proofErr w:type="gramStart"/>
            <w:r>
              <w:t>augmenter</w:t>
            </w:r>
            <w:proofErr w:type="gramEnd"/>
            <w:r>
              <w:t xml:space="preserve"> à 5 litres/minute.</w:t>
            </w:r>
          </w:p>
        </w:tc>
      </w:tr>
      <w:tr w:rsidR="00606EA8" w14:paraId="05087949" w14:textId="77777777" w:rsidTr="00432CF5">
        <w:tc>
          <w:tcPr>
            <w:tcW w:w="2376" w:type="dxa"/>
          </w:tcPr>
          <w:p w14:paraId="7F5CA453" w14:textId="77777777" w:rsidR="00606EA8" w:rsidRDefault="00606EA8" w:rsidP="0099153A">
            <w:r>
              <w:t>Anxiété</w:t>
            </w:r>
          </w:p>
        </w:tc>
        <w:tc>
          <w:tcPr>
            <w:tcW w:w="7825" w:type="dxa"/>
          </w:tcPr>
          <w:p w14:paraId="2018F539" w14:textId="354BD1C6" w:rsidR="00606EA8" w:rsidRPr="00FA389E" w:rsidRDefault="00606EA8" w:rsidP="0099153A">
            <w:r>
              <w:t xml:space="preserve">Administrer du Temesta Exp. 1 mg. </w:t>
            </w:r>
            <w:r w:rsidR="00F77DE8">
              <w:t>Peut-être</w:t>
            </w:r>
            <w:r>
              <w:t xml:space="preserve"> répété toutes les heures, </w:t>
            </w:r>
            <w:r w:rsidR="00AE27F6">
              <w:t>jusqu’à</w:t>
            </w:r>
            <w:r>
              <w:t xml:space="preserve"> un maximum de 8 comprimés par jour.</w:t>
            </w:r>
          </w:p>
          <w:p w14:paraId="788442ED" w14:textId="65D47DDE" w:rsidR="00606EA8" w:rsidRDefault="00606EA8" w:rsidP="0099153A">
            <w:r>
              <w:t xml:space="preserve">Si la déglutition n’est plus </w:t>
            </w:r>
            <w:r w:rsidR="00AE27F6">
              <w:t>possible :</w:t>
            </w:r>
            <w:r>
              <w:t xml:space="preserve"> Injection sous-cutanée de Dormicum </w:t>
            </w:r>
            <w:r w:rsidR="00AE27F6">
              <w:t>2,5 mg (</w:t>
            </w:r>
            <w:r>
              <w:t>ampoule de</w:t>
            </w:r>
            <w:r w:rsidR="00AE27F6">
              <w:t xml:space="preserve"> 5 mg/</w:t>
            </w:r>
            <w:r>
              <w:t>1 ml</w:t>
            </w:r>
            <w:r w:rsidR="00AE27F6">
              <w:t>)</w:t>
            </w:r>
            <w:r>
              <w:t>, répéter au max. toutes les demi-heures.</w:t>
            </w:r>
          </w:p>
        </w:tc>
      </w:tr>
      <w:tr w:rsidR="00606EA8" w14:paraId="131C08EB" w14:textId="77777777" w:rsidTr="00432CF5">
        <w:tc>
          <w:tcPr>
            <w:tcW w:w="2376" w:type="dxa"/>
          </w:tcPr>
          <w:p w14:paraId="31218A50" w14:textId="77777777" w:rsidR="00606EA8" w:rsidRDefault="00606EA8" w:rsidP="0099153A">
            <w:r>
              <w:t>Sensation d’étouffement</w:t>
            </w:r>
          </w:p>
        </w:tc>
        <w:tc>
          <w:tcPr>
            <w:tcW w:w="7825" w:type="dxa"/>
          </w:tcPr>
          <w:p w14:paraId="6EC3D9A7" w14:textId="77777777" w:rsidR="00606EA8" w:rsidRDefault="00606EA8" w:rsidP="0099153A">
            <w:r>
              <w:t>Injection sous-cutanée simultanée de morphine 5 mg et de Dormicum 2,5 mg, répéter toutes les 15 minutes jusqu’à apaisement.</w:t>
            </w:r>
          </w:p>
          <w:p w14:paraId="6A81DD84" w14:textId="578ACBBA" w:rsidR="00606EA8" w:rsidRPr="0057028E" w:rsidRDefault="00606EA8" w:rsidP="0099153A">
            <w:r>
              <w:t>Voir aussi les mesures à prendre en cas d</w:t>
            </w:r>
            <w:r w:rsidR="00AE27F6">
              <w:t>e dyspnée ci-dessus</w:t>
            </w:r>
            <w:r>
              <w:t xml:space="preserve">. </w:t>
            </w:r>
          </w:p>
        </w:tc>
      </w:tr>
      <w:tr w:rsidR="00606EA8" w14:paraId="60307753" w14:textId="77777777" w:rsidTr="00432CF5">
        <w:tc>
          <w:tcPr>
            <w:tcW w:w="2376" w:type="dxa"/>
          </w:tcPr>
          <w:p w14:paraId="358ECB6E" w14:textId="77777777" w:rsidR="00606EA8" w:rsidRDefault="00606EA8" w:rsidP="0099153A">
            <w:r>
              <w:t>Douleurs</w:t>
            </w:r>
          </w:p>
        </w:tc>
        <w:tc>
          <w:tcPr>
            <w:tcW w:w="7825" w:type="dxa"/>
          </w:tcPr>
          <w:p w14:paraId="421F0D4F" w14:textId="77777777" w:rsidR="00606EA8" w:rsidRPr="0057028E" w:rsidRDefault="00606EA8" w:rsidP="0099153A">
            <w:r>
              <w:t>Dafalgan 500 </w:t>
            </w:r>
            <w:proofErr w:type="gramStart"/>
            <w:r>
              <w:t>mg;</w:t>
            </w:r>
            <w:proofErr w:type="gramEnd"/>
            <w:r>
              <w:t xml:space="preserve"> 1 à max. 6 comprimés par jour</w:t>
            </w:r>
          </w:p>
          <w:p w14:paraId="3C4E5B14" w14:textId="78E3A070" w:rsidR="00606EA8" w:rsidRDefault="00AE27F6" w:rsidP="0099153A">
            <w:r>
              <w:t>Opioïdes</w:t>
            </w:r>
            <w:r w:rsidR="00606EA8">
              <w:t xml:space="preserve"> comme en cas </w:t>
            </w:r>
            <w:r>
              <w:t>de dyspnée</w:t>
            </w:r>
            <w:r w:rsidR="00606EA8">
              <w:t>.</w:t>
            </w:r>
          </w:p>
          <w:p w14:paraId="2508DDC4" w14:textId="77777777" w:rsidR="00606EA8" w:rsidRDefault="00606EA8" w:rsidP="0099153A">
            <w:r>
              <w:t>Positionnement du torse le plus confortablement possible.</w:t>
            </w:r>
          </w:p>
        </w:tc>
      </w:tr>
      <w:tr w:rsidR="00606EA8" w14:paraId="474898E9" w14:textId="77777777" w:rsidTr="00432CF5">
        <w:tc>
          <w:tcPr>
            <w:tcW w:w="2376" w:type="dxa"/>
          </w:tcPr>
          <w:p w14:paraId="3E5EA429" w14:textId="77777777" w:rsidR="00606EA8" w:rsidRDefault="00606EA8" w:rsidP="0099153A">
            <w:r>
              <w:t>Nausée</w:t>
            </w:r>
          </w:p>
        </w:tc>
        <w:tc>
          <w:tcPr>
            <w:tcW w:w="7825" w:type="dxa"/>
          </w:tcPr>
          <w:p w14:paraId="4FCCA025" w14:textId="6E42F762" w:rsidR="00606EA8" w:rsidRDefault="00606EA8" w:rsidP="0099153A">
            <w:r>
              <w:t>En cas de première prise d’</w:t>
            </w:r>
            <w:r w:rsidR="00AE27F6">
              <w:t>opioïdes</w:t>
            </w:r>
            <w:r>
              <w:t xml:space="preserve">, traitement prophylactique pendant trois </w:t>
            </w:r>
            <w:proofErr w:type="gramStart"/>
            <w:r>
              <w:t>jours:</w:t>
            </w:r>
            <w:proofErr w:type="gramEnd"/>
          </w:p>
          <w:p w14:paraId="782890D1" w14:textId="70005522" w:rsidR="00606EA8" w:rsidRDefault="00606EA8" w:rsidP="0099153A">
            <w:r>
              <w:t xml:space="preserve">Haldol 2 mg/ml 5 gouttes </w:t>
            </w:r>
            <w:r w:rsidR="00AE27F6">
              <w:t xml:space="preserve">jusqu’à </w:t>
            </w:r>
            <w:r>
              <w:t>quatre fois par jour.</w:t>
            </w:r>
          </w:p>
        </w:tc>
      </w:tr>
      <w:tr w:rsidR="00606EA8" w14:paraId="49347841" w14:textId="77777777" w:rsidTr="00432CF5">
        <w:tc>
          <w:tcPr>
            <w:tcW w:w="2376" w:type="dxa"/>
          </w:tcPr>
          <w:p w14:paraId="471F0D91" w14:textId="77777777" w:rsidR="00606EA8" w:rsidRDefault="00606EA8" w:rsidP="0099153A">
            <w:r>
              <w:lastRenderedPageBreak/>
              <w:t>Constipation</w:t>
            </w:r>
          </w:p>
        </w:tc>
        <w:tc>
          <w:tcPr>
            <w:tcW w:w="7825" w:type="dxa"/>
          </w:tcPr>
          <w:p w14:paraId="0D58553C" w14:textId="46059775" w:rsidR="00606EA8" w:rsidRPr="00C65E7E" w:rsidRDefault="00606EA8" w:rsidP="0099153A">
            <w:r>
              <w:t xml:space="preserve">Dès lors qu’un opiacé est administré </w:t>
            </w:r>
            <w:r w:rsidR="001C3C76">
              <w:t>quotidiennement</w:t>
            </w:r>
            <w:r>
              <w:t xml:space="preserve">, il faut </w:t>
            </w:r>
            <w:r w:rsidR="001C3C76">
              <w:t>associer</w:t>
            </w:r>
            <w:r>
              <w:t xml:space="preserve"> un laxatif comme Transipeg, un sachet chaque soir.</w:t>
            </w:r>
          </w:p>
          <w:p w14:paraId="10CAA54F" w14:textId="77777777" w:rsidR="00606EA8" w:rsidRDefault="00606EA8" w:rsidP="0099153A">
            <w:r>
              <w:t>En cas de constipation pendant deux jours, augmenter la dose de laxatif jusqu’à l’apparition de selles, puis réduire à une fois par jour.</w:t>
            </w:r>
          </w:p>
        </w:tc>
      </w:tr>
      <w:tr w:rsidR="00606EA8" w14:paraId="3360E9CA" w14:textId="77777777" w:rsidTr="00432CF5">
        <w:tc>
          <w:tcPr>
            <w:tcW w:w="2376" w:type="dxa"/>
          </w:tcPr>
          <w:p w14:paraId="7CF6240F" w14:textId="77777777" w:rsidR="00606EA8" w:rsidRDefault="00606EA8" w:rsidP="0099153A">
            <w:r>
              <w:t>Fièvre dépassant 38,5 °C</w:t>
            </w:r>
          </w:p>
        </w:tc>
        <w:tc>
          <w:tcPr>
            <w:tcW w:w="7825" w:type="dxa"/>
          </w:tcPr>
          <w:p w14:paraId="09D25A79" w14:textId="77777777" w:rsidR="00606EA8" w:rsidRDefault="00606EA8" w:rsidP="0099153A">
            <w:r>
              <w:t xml:space="preserve">Compresses rafraîchissantes, bain aux huiles essentielles de menthe, ventilateur, couverture légère, changement régulier du linge de lit et du pyjama. </w:t>
            </w:r>
          </w:p>
          <w:p w14:paraId="65E593B8" w14:textId="5BDA2434" w:rsidR="00606EA8" w:rsidRDefault="00606EA8" w:rsidP="0099153A">
            <w:r>
              <w:t xml:space="preserve">Tant que la fièvre ne provoque pas de </w:t>
            </w:r>
            <w:r w:rsidR="001C3C76">
              <w:t>symptômes</w:t>
            </w:r>
            <w:r>
              <w:t xml:space="preserve">, pas besoin de la faire baisser. Si en revanche il est souhaité de la faire </w:t>
            </w:r>
            <w:r w:rsidR="001C3C76">
              <w:t>baisser :</w:t>
            </w:r>
            <w:r>
              <w:t xml:space="preserve"> Dafalgan 500 mg, 1 à max. 6 comprimés par </w:t>
            </w:r>
            <w:r w:rsidR="001C3C76">
              <w:t>jour ;</w:t>
            </w:r>
            <w:r>
              <w:t xml:space="preserve"> si les comprimés ne peuvent pas être avalés, supp. Dafalgan 600 mg, max. 5 fois par jour.</w:t>
            </w:r>
          </w:p>
        </w:tc>
      </w:tr>
      <w:tr w:rsidR="00606EA8" w14:paraId="2C51A3DC" w14:textId="77777777" w:rsidTr="00432CF5">
        <w:tc>
          <w:tcPr>
            <w:tcW w:w="2376" w:type="dxa"/>
          </w:tcPr>
          <w:p w14:paraId="27F5AC19" w14:textId="77777777" w:rsidR="00606EA8" w:rsidRDefault="00606EA8" w:rsidP="0099153A">
            <w:r>
              <w:t>Confusion, agitation</w:t>
            </w:r>
          </w:p>
        </w:tc>
        <w:tc>
          <w:tcPr>
            <w:tcW w:w="7825" w:type="dxa"/>
          </w:tcPr>
          <w:p w14:paraId="16D7FA06" w14:textId="2A242EFB" w:rsidR="00606EA8" w:rsidRDefault="00606EA8" w:rsidP="0099153A">
            <w:r>
              <w:t>Donner des informations facilitant l’orientation (heure, date, jour de la semaine). Créer un environnement calme. Prévenir la mise en danger d</w:t>
            </w:r>
            <w:r w:rsidR="001C3C76">
              <w:t>u patient</w:t>
            </w:r>
            <w:r>
              <w:t xml:space="preserve"> et des </w:t>
            </w:r>
            <w:r w:rsidR="001C3C76">
              <w:t>soignants</w:t>
            </w:r>
            <w:r>
              <w:t xml:space="preserve"> et organiser des veilles. </w:t>
            </w:r>
          </w:p>
          <w:p w14:paraId="769F81D5" w14:textId="3F533925" w:rsidR="00606EA8" w:rsidRDefault="00606EA8" w:rsidP="0099153A">
            <w:r>
              <w:t>Évaluer l</w:t>
            </w:r>
            <w:r w:rsidR="001C3C76">
              <w:t>’élimination</w:t>
            </w:r>
            <w:r>
              <w:t xml:space="preserve"> (selles et urines) ainsi que les causes pouvant être traitées.</w:t>
            </w:r>
          </w:p>
          <w:p w14:paraId="6044B76C" w14:textId="77777777" w:rsidR="00606EA8" w:rsidRDefault="00606EA8" w:rsidP="0099153A">
            <w:r>
              <w:t>Haldol en gouttes 2 mg/</w:t>
            </w:r>
            <w:proofErr w:type="gramStart"/>
            <w:r>
              <w:t>ml:</w:t>
            </w:r>
            <w:proofErr w:type="gramEnd"/>
            <w:r>
              <w:t xml:space="preserve"> 5 gouttes, répéter toutes les heures, au max. 50 gouttes. </w:t>
            </w:r>
          </w:p>
          <w:p w14:paraId="473D8B91" w14:textId="790A56BD" w:rsidR="00606EA8" w:rsidRDefault="00606EA8" w:rsidP="0099153A">
            <w:r>
              <w:t xml:space="preserve">En cas </w:t>
            </w:r>
            <w:r w:rsidR="001C3C76">
              <w:t>d’anxiété :</w:t>
            </w:r>
            <w:r>
              <w:t xml:space="preserve"> voir Benzodiazépine </w:t>
            </w:r>
            <w:r w:rsidR="001C3C76">
              <w:t>comme en cas de dyspnée</w:t>
            </w:r>
            <w:r>
              <w:t>.</w:t>
            </w:r>
          </w:p>
          <w:p w14:paraId="1F2011A5" w14:textId="77777777" w:rsidR="00606EA8" w:rsidRPr="00432CF5" w:rsidRDefault="00606EA8" w:rsidP="0099153A"/>
        </w:tc>
      </w:tr>
    </w:tbl>
    <w:p w14:paraId="0CF9673D" w14:textId="77777777" w:rsidR="00F538D8" w:rsidRPr="00432CF5" w:rsidRDefault="00F538D8" w:rsidP="00F538D8"/>
    <w:p w14:paraId="5307FC3F" w14:textId="356208D3" w:rsidR="00606EA8" w:rsidRPr="00F538D8" w:rsidRDefault="00606EA8" w:rsidP="00F538D8">
      <w:pPr>
        <w:rPr>
          <w:b/>
          <w:bCs/>
          <w:sz w:val="24"/>
        </w:rPr>
      </w:pPr>
      <w:r>
        <w:rPr>
          <w:b/>
          <w:bCs/>
          <w:sz w:val="24"/>
        </w:rPr>
        <w:t>Numéros d’urgence</w:t>
      </w:r>
    </w:p>
    <w:p w14:paraId="7464E81B" w14:textId="77777777" w:rsidR="00606EA8" w:rsidRPr="00D2214E" w:rsidRDefault="00606EA8" w:rsidP="00606EA8">
      <w:r>
        <w:t xml:space="preserve">Si les mesures susmentionnées n’agissent pas assez rapidement, appelez les numéros d’urgence ci-après dans l’ordre présenté (de haut en bas) jusqu’à l’obtention d'une </w:t>
      </w:r>
      <w:proofErr w:type="gramStart"/>
      <w:r>
        <w:t>réponse:</w:t>
      </w:r>
      <w:proofErr w:type="gramEnd"/>
      <w:r>
        <w:t xml:space="preserve"> </w:t>
      </w:r>
    </w:p>
    <w:p w14:paraId="5E29513D" w14:textId="77777777" w:rsidR="00606EA8" w:rsidRPr="00432CF5" w:rsidRDefault="00606EA8" w:rsidP="00606EA8"/>
    <w:p w14:paraId="721E6DB2" w14:textId="363FB174" w:rsidR="00606EA8" w:rsidRPr="00D2214E" w:rsidRDefault="00606EA8" w:rsidP="00606EA8">
      <w:r>
        <w:t xml:space="preserve">Médecin </w:t>
      </w:r>
      <w:r w:rsidR="001C3C76">
        <w:t>traitant :</w:t>
      </w:r>
      <w:r>
        <w:t xml:space="preserve"> Tél. ....................................... ou tél. .......................................</w:t>
      </w:r>
    </w:p>
    <w:p w14:paraId="14632C05" w14:textId="77777777" w:rsidR="00606EA8" w:rsidRPr="00A00C1D" w:rsidRDefault="00606EA8" w:rsidP="00606EA8"/>
    <w:p w14:paraId="3B9C7417" w14:textId="66BCEA0D" w:rsidR="00606EA8" w:rsidRPr="00D2214E" w:rsidRDefault="001C3C76" w:rsidP="00606EA8">
      <w:r>
        <w:t>Equipe de soins palliatifs :</w:t>
      </w:r>
      <w:r w:rsidR="00606EA8">
        <w:t xml:space="preserve"> Tél. …………………………………. </w:t>
      </w:r>
    </w:p>
    <w:p w14:paraId="7C1E59A3" w14:textId="77777777" w:rsidR="00606EA8" w:rsidRPr="00A00C1D" w:rsidRDefault="00606EA8" w:rsidP="00606EA8"/>
    <w:p w14:paraId="3361C6C4" w14:textId="2DA7BCC8" w:rsidR="00606EA8" w:rsidRDefault="001C3C76" w:rsidP="00606EA8">
      <w:r>
        <w:t xml:space="preserve">Médecin de garde </w:t>
      </w:r>
      <w:r w:rsidR="00606EA8">
        <w:t>: ………………………</w:t>
      </w:r>
      <w:proofErr w:type="gramStart"/>
      <w:r w:rsidR="00606EA8">
        <w:t>…….</w:t>
      </w:r>
      <w:proofErr w:type="gramEnd"/>
      <w:r w:rsidR="00606EA8">
        <w:t>.</w:t>
      </w:r>
    </w:p>
    <w:p w14:paraId="5AA18FF6" w14:textId="77777777" w:rsidR="00F538D8" w:rsidRPr="00A00C1D" w:rsidRDefault="00F538D8" w:rsidP="00F538D8"/>
    <w:p w14:paraId="49130D1E" w14:textId="56FA47CE" w:rsidR="00606EA8" w:rsidRPr="00F538D8" w:rsidRDefault="00606EA8" w:rsidP="00F538D8">
      <w:pPr>
        <w:rPr>
          <w:b/>
          <w:bCs/>
          <w:sz w:val="24"/>
        </w:rPr>
      </w:pPr>
      <w:r>
        <w:rPr>
          <w:b/>
          <w:bCs/>
          <w:sz w:val="24"/>
        </w:rPr>
        <w:t>Mesures générales</w:t>
      </w:r>
    </w:p>
    <w:p w14:paraId="7AEB0F69" w14:textId="59B6EF0E" w:rsidR="00606EA8" w:rsidRDefault="001C3C76" w:rsidP="00606EA8">
      <w:r>
        <w:t>S</w:t>
      </w:r>
      <w:r w:rsidR="00606EA8">
        <w:t xml:space="preserve">e protéger selon les </w:t>
      </w:r>
      <w:hyperlink r:id="rId10" w:anchor="847126359" w:history="1">
        <w:r w:rsidR="00606EA8">
          <w:rPr>
            <w:rStyle w:val="Hyperlink"/>
          </w:rPr>
          <w:t>recommandations de l’OFSP</w:t>
        </w:r>
      </w:hyperlink>
      <w:r w:rsidR="00606EA8">
        <w:t xml:space="preserve"> </w:t>
      </w:r>
    </w:p>
    <w:p w14:paraId="26BB3558" w14:textId="721E066A" w:rsidR="00606EA8" w:rsidRDefault="00606EA8" w:rsidP="00606EA8">
      <w:r>
        <w:t>Impliquer l</w:t>
      </w:r>
      <w:r w:rsidR="001C3C76">
        <w:t>es</w:t>
      </w:r>
      <w:r>
        <w:t xml:space="preserve"> soins à domicile le plus tôt possible.</w:t>
      </w:r>
    </w:p>
    <w:p w14:paraId="76FA30BB" w14:textId="4041E10E" w:rsidR="00606EA8" w:rsidRDefault="00606EA8" w:rsidP="00606EA8">
      <w:r>
        <w:t xml:space="preserve">Tenir compte de l’offre des professionnels de l’aumônerie et de soutien psychologique pour </w:t>
      </w:r>
      <w:proofErr w:type="gramStart"/>
      <w:r>
        <w:t>les patient</w:t>
      </w:r>
      <w:proofErr w:type="gramEnd"/>
      <w:r w:rsidR="001C3C76">
        <w:t>(</w:t>
      </w:r>
      <w:r>
        <w:t>e</w:t>
      </w:r>
      <w:r w:rsidR="001C3C76">
        <w:t>)</w:t>
      </w:r>
      <w:r>
        <w:t xml:space="preserve">s (évent. </w:t>
      </w:r>
      <w:proofErr w:type="gramStart"/>
      <w:r>
        <w:t>via</w:t>
      </w:r>
      <w:proofErr w:type="gramEnd"/>
      <w:r>
        <w:t xml:space="preserve"> vidéoconférence) et pour les proches.</w:t>
      </w:r>
    </w:p>
    <w:p w14:paraId="772C65E0" w14:textId="77777777" w:rsidR="00606EA8" w:rsidRDefault="00606EA8" w:rsidP="00606EA8">
      <w:r>
        <w:t xml:space="preserve">Dans les cas complexes, consulter l’équipe de soins palliatifs </w:t>
      </w:r>
      <w:r>
        <w:br/>
        <w:t xml:space="preserve">(voir </w:t>
      </w:r>
      <w:hyperlink r:id="rId11" w:anchor="zuhause" w:history="1">
        <w:r>
          <w:rPr>
            <w:rStyle w:val="Hyperlink"/>
          </w:rPr>
          <w:t>https://www.cartepalliative.ch/carte#domicile</w:t>
        </w:r>
      </w:hyperlink>
      <w:r>
        <w:t xml:space="preserve">). </w:t>
      </w:r>
    </w:p>
    <w:p w14:paraId="7D4D2A99" w14:textId="77777777" w:rsidR="00606EA8" w:rsidRPr="00A00C1D" w:rsidRDefault="00606EA8" w:rsidP="00606EA8"/>
    <w:p w14:paraId="146822E6" w14:textId="77777777" w:rsidR="00606EA8" w:rsidRPr="00A00C1D" w:rsidRDefault="00606EA8" w:rsidP="00606EA8"/>
    <w:p w14:paraId="7A0F9A02" w14:textId="77777777" w:rsidR="00606EA8" w:rsidRPr="00A00C1D" w:rsidRDefault="00606EA8" w:rsidP="00606EA8"/>
    <w:p w14:paraId="00EDC6CC" w14:textId="24ECB421" w:rsidR="00A31E33" w:rsidRDefault="00606EA8" w:rsidP="00606EA8">
      <w:r>
        <w:t xml:space="preserve">Lieu, </w:t>
      </w:r>
      <w:proofErr w:type="gramStart"/>
      <w:r>
        <w:t>date:</w:t>
      </w:r>
      <w:proofErr w:type="gramEnd"/>
      <w:r>
        <w:t xml:space="preserve"> ………………………………… </w:t>
      </w:r>
      <w:r w:rsidR="001C3C76">
        <w:t>Timbre</w:t>
      </w:r>
      <w:r>
        <w:t>/signature Médecin:……………………………………..</w:t>
      </w:r>
    </w:p>
    <w:p w14:paraId="010A7EC7" w14:textId="0AAE573D" w:rsidR="00F538D8" w:rsidRPr="00432CF5" w:rsidRDefault="00F538D8" w:rsidP="00606EA8">
      <w:pPr>
        <w:rPr>
          <w:lang w:val="en-US"/>
        </w:rPr>
      </w:pPr>
    </w:p>
    <w:p w14:paraId="5D557972" w14:textId="332103A1" w:rsidR="00F538D8" w:rsidRPr="00432CF5" w:rsidRDefault="00F538D8" w:rsidP="00606EA8">
      <w:pPr>
        <w:rPr>
          <w:lang w:val="en-US"/>
        </w:rPr>
      </w:pPr>
    </w:p>
    <w:p w14:paraId="14951527" w14:textId="0AA77BCF" w:rsidR="00F538D8" w:rsidRPr="00606EA8" w:rsidRDefault="00F538D8" w:rsidP="00606EA8">
      <w:r>
        <w:t>État au 2</w:t>
      </w:r>
      <w:r w:rsidR="00F77DE8">
        <w:t>6</w:t>
      </w:r>
      <w:r>
        <w:t> mars 2020</w:t>
      </w:r>
    </w:p>
    <w:sectPr w:rsidR="00F538D8" w:rsidRPr="00606EA8" w:rsidSect="0072686B">
      <w:headerReference w:type="default" r:id="rId12"/>
      <w:footerReference w:type="default" r:id="rId13"/>
      <w:headerReference w:type="first" r:id="rId14"/>
      <w:pgSz w:w="11900" w:h="16840"/>
      <w:pgMar w:top="2410" w:right="851" w:bottom="1701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67B28" w14:textId="77777777" w:rsidR="002406FF" w:rsidRDefault="002406FF">
      <w:r>
        <w:separator/>
      </w:r>
    </w:p>
  </w:endnote>
  <w:endnote w:type="continuationSeparator" w:id="0">
    <w:p w14:paraId="66C84BEF" w14:textId="77777777" w:rsidR="002406FF" w:rsidRDefault="0024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B526B" w14:textId="04DA8A4F" w:rsidR="003F25CD" w:rsidRPr="00E96E06" w:rsidRDefault="00E96E06" w:rsidP="00E96E06">
    <w:pPr>
      <w:pStyle w:val="Fuzeile"/>
    </w:pPr>
    <w:r>
      <w:rPr>
        <w:noProof/>
      </w:rPr>
      <w:drawing>
        <wp:inline distT="0" distB="0" distL="0" distR="0" wp14:anchorId="4EF8B0F8" wp14:editId="35AA03BE">
          <wp:extent cx="6300470" cy="445135"/>
          <wp:effectExtent l="0" t="0" r="5080" b="0"/>
          <wp:docPr id="50" name="Grafik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EC9BE" w14:textId="77777777" w:rsidR="002406FF" w:rsidRDefault="002406FF">
      <w:r>
        <w:separator/>
      </w:r>
    </w:p>
  </w:footnote>
  <w:footnote w:type="continuationSeparator" w:id="0">
    <w:p w14:paraId="48F786A6" w14:textId="77777777" w:rsidR="002406FF" w:rsidRDefault="0024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F4A69" w14:textId="0C8D39A8" w:rsidR="003F25CD" w:rsidRDefault="003F25CD">
    <w:pPr>
      <w:pStyle w:val="Kopfzeile"/>
    </w:pPr>
    <w:r>
      <w:rPr>
        <w:noProof/>
      </w:rPr>
      <w:drawing>
        <wp:inline distT="0" distB="0" distL="0" distR="0" wp14:anchorId="20E9AC70" wp14:editId="3F890653">
          <wp:extent cx="3705225" cy="752475"/>
          <wp:effectExtent l="0" t="0" r="9525" b="9525"/>
          <wp:docPr id="49" name="Bild 1" descr="cid:image008.jpg@01D083EC.E0B6A0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cid:image008.jpg@01D083EC.E0B6A0D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DB0ED" w14:textId="0B354C3C" w:rsidR="003F25CD" w:rsidRDefault="003F25CD" w:rsidP="00401447">
    <w:pPr>
      <w:pStyle w:val="Kopfzeile"/>
    </w:pPr>
    <w:r>
      <w:rPr>
        <w:noProof/>
      </w:rPr>
      <w:drawing>
        <wp:inline distT="0" distB="0" distL="0" distR="0" wp14:anchorId="16BA51EC" wp14:editId="04E58016">
          <wp:extent cx="3705225" cy="752475"/>
          <wp:effectExtent l="0" t="0" r="9525" b="9525"/>
          <wp:docPr id="51" name="Bild 1" descr="cid:image008.jpg@01D083EC.E0B6A0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cid:image008.jpg@01D083EC.E0B6A0D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75C30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F945C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0FE9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929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027E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FEFA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B80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C0E73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D240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E47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33E8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DC57EB"/>
    <w:multiLevelType w:val="hybridMultilevel"/>
    <w:tmpl w:val="3AD2E2E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4969A3"/>
    <w:multiLevelType w:val="hybridMultilevel"/>
    <w:tmpl w:val="2C2CDF4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C4661"/>
    <w:multiLevelType w:val="hybridMultilevel"/>
    <w:tmpl w:val="892254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F1FB2"/>
    <w:multiLevelType w:val="hybridMultilevel"/>
    <w:tmpl w:val="60BA49A0"/>
    <w:lvl w:ilvl="0" w:tplc="52DADB2A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0CD7CA3"/>
    <w:multiLevelType w:val="hybridMultilevel"/>
    <w:tmpl w:val="0E62095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5171A"/>
    <w:multiLevelType w:val="hybridMultilevel"/>
    <w:tmpl w:val="1DF8137A"/>
    <w:lvl w:ilvl="0" w:tplc="DE6462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23E66"/>
    <w:multiLevelType w:val="hybridMultilevel"/>
    <w:tmpl w:val="404870CA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1C3732"/>
    <w:multiLevelType w:val="hybridMultilevel"/>
    <w:tmpl w:val="B7F849E0"/>
    <w:lvl w:ilvl="0" w:tplc="08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A1F6955"/>
    <w:multiLevelType w:val="hybridMultilevel"/>
    <w:tmpl w:val="837CBC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55765"/>
    <w:multiLevelType w:val="hybridMultilevel"/>
    <w:tmpl w:val="E9923C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F440A"/>
    <w:multiLevelType w:val="hybridMultilevel"/>
    <w:tmpl w:val="09E640A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8"/>
  </w:num>
  <w:num w:numId="14">
    <w:abstractNumId w:val="20"/>
  </w:num>
  <w:num w:numId="15">
    <w:abstractNumId w:val="19"/>
  </w:num>
  <w:num w:numId="16">
    <w:abstractNumId w:val="13"/>
  </w:num>
  <w:num w:numId="17">
    <w:abstractNumId w:val="15"/>
  </w:num>
  <w:num w:numId="18">
    <w:abstractNumId w:val="16"/>
  </w:num>
  <w:num w:numId="19">
    <w:abstractNumId w:val="17"/>
  </w:num>
  <w:num w:numId="20">
    <w:abstractNumId w:val="14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rawingGridHorizontalSpacing w:val="357"/>
  <w:drawingGridVerticalSpacing w:val="57"/>
  <w:displayHorizontalDrawingGridEvery w:val="0"/>
  <w:displayVerticalDrawingGridEvery w:val="0"/>
  <w:doNotUseMarginsForDrawingGridOrigin/>
  <w:drawingGridHorizontalOrigin w:val="0"/>
  <w:drawingGridVerticalOrigin w:val="141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3F"/>
    <w:rsid w:val="0000109C"/>
    <w:rsid w:val="000034B4"/>
    <w:rsid w:val="000115AC"/>
    <w:rsid w:val="00017A80"/>
    <w:rsid w:val="00024D77"/>
    <w:rsid w:val="00033341"/>
    <w:rsid w:val="00035413"/>
    <w:rsid w:val="00067669"/>
    <w:rsid w:val="00082FF2"/>
    <w:rsid w:val="00091ABE"/>
    <w:rsid w:val="000B27DC"/>
    <w:rsid w:val="000D652D"/>
    <w:rsid w:val="000F74DC"/>
    <w:rsid w:val="00121D56"/>
    <w:rsid w:val="0012639D"/>
    <w:rsid w:val="0014193F"/>
    <w:rsid w:val="001445EA"/>
    <w:rsid w:val="001460E2"/>
    <w:rsid w:val="00150B39"/>
    <w:rsid w:val="00157CBE"/>
    <w:rsid w:val="00167295"/>
    <w:rsid w:val="001679BF"/>
    <w:rsid w:val="001760C2"/>
    <w:rsid w:val="001A7F30"/>
    <w:rsid w:val="001C3C76"/>
    <w:rsid w:val="001E3CD4"/>
    <w:rsid w:val="001E3ED3"/>
    <w:rsid w:val="001F22E3"/>
    <w:rsid w:val="001F653E"/>
    <w:rsid w:val="002008F7"/>
    <w:rsid w:val="002041FE"/>
    <w:rsid w:val="00207BF6"/>
    <w:rsid w:val="00211F89"/>
    <w:rsid w:val="00221A26"/>
    <w:rsid w:val="00232BFB"/>
    <w:rsid w:val="002406FF"/>
    <w:rsid w:val="00240C90"/>
    <w:rsid w:val="0024797C"/>
    <w:rsid w:val="002617E2"/>
    <w:rsid w:val="00261B2D"/>
    <w:rsid w:val="00262554"/>
    <w:rsid w:val="002674BA"/>
    <w:rsid w:val="00270334"/>
    <w:rsid w:val="0027263C"/>
    <w:rsid w:val="002807D2"/>
    <w:rsid w:val="00292862"/>
    <w:rsid w:val="0029784F"/>
    <w:rsid w:val="002A07F3"/>
    <w:rsid w:val="002A2A26"/>
    <w:rsid w:val="002A4D9B"/>
    <w:rsid w:val="002B69DC"/>
    <w:rsid w:val="002B703C"/>
    <w:rsid w:val="002B78A2"/>
    <w:rsid w:val="002C3E4C"/>
    <w:rsid w:val="002D5427"/>
    <w:rsid w:val="002F704A"/>
    <w:rsid w:val="0030614C"/>
    <w:rsid w:val="0031121D"/>
    <w:rsid w:val="0031691C"/>
    <w:rsid w:val="003169B0"/>
    <w:rsid w:val="0032114A"/>
    <w:rsid w:val="003406DC"/>
    <w:rsid w:val="00342760"/>
    <w:rsid w:val="00343487"/>
    <w:rsid w:val="00353B69"/>
    <w:rsid w:val="003601BA"/>
    <w:rsid w:val="003630ED"/>
    <w:rsid w:val="003A494A"/>
    <w:rsid w:val="003D01E9"/>
    <w:rsid w:val="003D49B2"/>
    <w:rsid w:val="003D51C8"/>
    <w:rsid w:val="003E25BC"/>
    <w:rsid w:val="003E6EC3"/>
    <w:rsid w:val="003F25CD"/>
    <w:rsid w:val="003F4CF7"/>
    <w:rsid w:val="00401447"/>
    <w:rsid w:val="00407EDF"/>
    <w:rsid w:val="00410A36"/>
    <w:rsid w:val="004232F6"/>
    <w:rsid w:val="004256CE"/>
    <w:rsid w:val="00426F99"/>
    <w:rsid w:val="00432CF5"/>
    <w:rsid w:val="004538F3"/>
    <w:rsid w:val="004575F7"/>
    <w:rsid w:val="00472AAE"/>
    <w:rsid w:val="00480146"/>
    <w:rsid w:val="0049480A"/>
    <w:rsid w:val="004C030E"/>
    <w:rsid w:val="004C0E31"/>
    <w:rsid w:val="004D3E4F"/>
    <w:rsid w:val="004F0B0A"/>
    <w:rsid w:val="004F3F70"/>
    <w:rsid w:val="00534D07"/>
    <w:rsid w:val="00535030"/>
    <w:rsid w:val="005438A0"/>
    <w:rsid w:val="00573930"/>
    <w:rsid w:val="005829DE"/>
    <w:rsid w:val="005A21AD"/>
    <w:rsid w:val="005A4235"/>
    <w:rsid w:val="005A5C70"/>
    <w:rsid w:val="005B0C0D"/>
    <w:rsid w:val="005C225A"/>
    <w:rsid w:val="005C3801"/>
    <w:rsid w:val="005F341B"/>
    <w:rsid w:val="005F5FA6"/>
    <w:rsid w:val="00603639"/>
    <w:rsid w:val="00606EA8"/>
    <w:rsid w:val="00622472"/>
    <w:rsid w:val="006267D2"/>
    <w:rsid w:val="00631FA2"/>
    <w:rsid w:val="00654007"/>
    <w:rsid w:val="00665641"/>
    <w:rsid w:val="006765E2"/>
    <w:rsid w:val="0068074F"/>
    <w:rsid w:val="00684788"/>
    <w:rsid w:val="00685CAE"/>
    <w:rsid w:val="006A25F6"/>
    <w:rsid w:val="006A40BD"/>
    <w:rsid w:val="006B6045"/>
    <w:rsid w:val="006C7495"/>
    <w:rsid w:val="006E2571"/>
    <w:rsid w:val="006E2DE6"/>
    <w:rsid w:val="006E54A8"/>
    <w:rsid w:val="00705C91"/>
    <w:rsid w:val="00707388"/>
    <w:rsid w:val="00711000"/>
    <w:rsid w:val="007112DF"/>
    <w:rsid w:val="00723F35"/>
    <w:rsid w:val="0072686B"/>
    <w:rsid w:val="00726FBC"/>
    <w:rsid w:val="00741D9D"/>
    <w:rsid w:val="007605B4"/>
    <w:rsid w:val="00780F2D"/>
    <w:rsid w:val="0078331B"/>
    <w:rsid w:val="00796C7B"/>
    <w:rsid w:val="007A2127"/>
    <w:rsid w:val="007C5D7D"/>
    <w:rsid w:val="007E3E76"/>
    <w:rsid w:val="007E408C"/>
    <w:rsid w:val="007F7F03"/>
    <w:rsid w:val="00802D00"/>
    <w:rsid w:val="00816241"/>
    <w:rsid w:val="00822E9C"/>
    <w:rsid w:val="00823E7C"/>
    <w:rsid w:val="00826B76"/>
    <w:rsid w:val="0083616B"/>
    <w:rsid w:val="00836BD6"/>
    <w:rsid w:val="00842136"/>
    <w:rsid w:val="00843080"/>
    <w:rsid w:val="00853280"/>
    <w:rsid w:val="00866431"/>
    <w:rsid w:val="008A2A07"/>
    <w:rsid w:val="008A30CC"/>
    <w:rsid w:val="008A46EF"/>
    <w:rsid w:val="008B03BB"/>
    <w:rsid w:val="008C2C9A"/>
    <w:rsid w:val="00906318"/>
    <w:rsid w:val="00906E9D"/>
    <w:rsid w:val="009128C4"/>
    <w:rsid w:val="00926635"/>
    <w:rsid w:val="009441A2"/>
    <w:rsid w:val="0095175B"/>
    <w:rsid w:val="0097038E"/>
    <w:rsid w:val="0097070E"/>
    <w:rsid w:val="00973EB9"/>
    <w:rsid w:val="00995500"/>
    <w:rsid w:val="009B1D9D"/>
    <w:rsid w:val="009B2D05"/>
    <w:rsid w:val="009C403F"/>
    <w:rsid w:val="009D1F27"/>
    <w:rsid w:val="00A00C1D"/>
    <w:rsid w:val="00A04229"/>
    <w:rsid w:val="00A079CC"/>
    <w:rsid w:val="00A07A3D"/>
    <w:rsid w:val="00A10B59"/>
    <w:rsid w:val="00A171F9"/>
    <w:rsid w:val="00A2719E"/>
    <w:rsid w:val="00A31E33"/>
    <w:rsid w:val="00A35EA0"/>
    <w:rsid w:val="00A44F4B"/>
    <w:rsid w:val="00A46B83"/>
    <w:rsid w:val="00A50ED1"/>
    <w:rsid w:val="00A62B1C"/>
    <w:rsid w:val="00A74DA8"/>
    <w:rsid w:val="00A95D95"/>
    <w:rsid w:val="00AA7150"/>
    <w:rsid w:val="00AD3854"/>
    <w:rsid w:val="00AD3D43"/>
    <w:rsid w:val="00AE27F6"/>
    <w:rsid w:val="00AF1E8F"/>
    <w:rsid w:val="00AF5316"/>
    <w:rsid w:val="00B013B8"/>
    <w:rsid w:val="00B1246D"/>
    <w:rsid w:val="00B242C6"/>
    <w:rsid w:val="00B32C5D"/>
    <w:rsid w:val="00B32FCB"/>
    <w:rsid w:val="00B36D16"/>
    <w:rsid w:val="00B53553"/>
    <w:rsid w:val="00B64D46"/>
    <w:rsid w:val="00B67CDB"/>
    <w:rsid w:val="00B72299"/>
    <w:rsid w:val="00B9656D"/>
    <w:rsid w:val="00BB51D7"/>
    <w:rsid w:val="00BC1D58"/>
    <w:rsid w:val="00BD283F"/>
    <w:rsid w:val="00BE6031"/>
    <w:rsid w:val="00C06307"/>
    <w:rsid w:val="00C0774D"/>
    <w:rsid w:val="00C12435"/>
    <w:rsid w:val="00C14FDF"/>
    <w:rsid w:val="00C1502B"/>
    <w:rsid w:val="00C360BD"/>
    <w:rsid w:val="00C41494"/>
    <w:rsid w:val="00C45A7A"/>
    <w:rsid w:val="00C45EEF"/>
    <w:rsid w:val="00C53D65"/>
    <w:rsid w:val="00C5682D"/>
    <w:rsid w:val="00C60AA0"/>
    <w:rsid w:val="00C762AB"/>
    <w:rsid w:val="00C85546"/>
    <w:rsid w:val="00C95349"/>
    <w:rsid w:val="00CA69C3"/>
    <w:rsid w:val="00CB1548"/>
    <w:rsid w:val="00CB76FE"/>
    <w:rsid w:val="00CD0DAE"/>
    <w:rsid w:val="00CD19A2"/>
    <w:rsid w:val="00CD7BB9"/>
    <w:rsid w:val="00CE2E38"/>
    <w:rsid w:val="00CE6946"/>
    <w:rsid w:val="00CF77AC"/>
    <w:rsid w:val="00D0060D"/>
    <w:rsid w:val="00D12213"/>
    <w:rsid w:val="00D14AE7"/>
    <w:rsid w:val="00D20755"/>
    <w:rsid w:val="00D35F0B"/>
    <w:rsid w:val="00D40183"/>
    <w:rsid w:val="00D50BB8"/>
    <w:rsid w:val="00D872C6"/>
    <w:rsid w:val="00D90E45"/>
    <w:rsid w:val="00DA0BE1"/>
    <w:rsid w:val="00DC04EF"/>
    <w:rsid w:val="00DC56F1"/>
    <w:rsid w:val="00DC7F37"/>
    <w:rsid w:val="00DD620F"/>
    <w:rsid w:val="00DF0706"/>
    <w:rsid w:val="00E00421"/>
    <w:rsid w:val="00E12600"/>
    <w:rsid w:val="00E16D42"/>
    <w:rsid w:val="00E3266E"/>
    <w:rsid w:val="00E42EAD"/>
    <w:rsid w:val="00E47D61"/>
    <w:rsid w:val="00E5225C"/>
    <w:rsid w:val="00E70F54"/>
    <w:rsid w:val="00E713CE"/>
    <w:rsid w:val="00E76925"/>
    <w:rsid w:val="00E7760C"/>
    <w:rsid w:val="00E81723"/>
    <w:rsid w:val="00E817DA"/>
    <w:rsid w:val="00E81FA4"/>
    <w:rsid w:val="00E85FCD"/>
    <w:rsid w:val="00E9659F"/>
    <w:rsid w:val="00E96E06"/>
    <w:rsid w:val="00EB351E"/>
    <w:rsid w:val="00EC36F5"/>
    <w:rsid w:val="00ED1355"/>
    <w:rsid w:val="00EE02D1"/>
    <w:rsid w:val="00EE1AEF"/>
    <w:rsid w:val="00EE6CEC"/>
    <w:rsid w:val="00EF4340"/>
    <w:rsid w:val="00F02DCA"/>
    <w:rsid w:val="00F3414C"/>
    <w:rsid w:val="00F41922"/>
    <w:rsid w:val="00F43AA3"/>
    <w:rsid w:val="00F505A0"/>
    <w:rsid w:val="00F538D8"/>
    <w:rsid w:val="00F547A3"/>
    <w:rsid w:val="00F62344"/>
    <w:rsid w:val="00F727B4"/>
    <w:rsid w:val="00F77DE8"/>
    <w:rsid w:val="00F87235"/>
    <w:rsid w:val="00F91259"/>
    <w:rsid w:val="00F943EC"/>
    <w:rsid w:val="00F94405"/>
    <w:rsid w:val="00FA16F0"/>
    <w:rsid w:val="00FA4A77"/>
    <w:rsid w:val="00FB65F5"/>
    <w:rsid w:val="00FC1BB9"/>
    <w:rsid w:val="00FE0868"/>
    <w:rsid w:val="00FE50FA"/>
    <w:rsid w:val="00FF4E58"/>
    <w:rsid w:val="00FF4F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4E3DD21"/>
  <w15:docId w15:val="{4BD7E3A2-EB6A-4DB0-92F2-64E079A2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7BF6"/>
    <w:rPr>
      <w:rFonts w:asciiTheme="majorHAnsi" w:hAnsiTheme="maj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6EA8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30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30CC"/>
  </w:style>
  <w:style w:type="paragraph" w:styleId="Fuzeile">
    <w:name w:val="footer"/>
    <w:basedOn w:val="Standard"/>
    <w:link w:val="FuzeileZchn"/>
    <w:uiPriority w:val="99"/>
    <w:unhideWhenUsed/>
    <w:rsid w:val="008A30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30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7B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7BF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CA69C3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A69C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7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49B2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0183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0183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0183"/>
    <w:rPr>
      <w:rFonts w:asciiTheme="majorHAnsi" w:hAnsiTheme="majorHAns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018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0183"/>
    <w:rPr>
      <w:rFonts w:asciiTheme="majorHAnsi" w:hAnsiTheme="majorHAnsi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41A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6E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Nc3am8a-8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nacareapp.com/pneumonie-prophylax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rtepalliative.ch/cart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ag.admin.ch/bag/fr/home/krankheiten/ausbrueche-epidemien-pandemien/aktuelle-ausbrueche-epidemien/novel-cov/so-schuetzen-wir-u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guepulmonaire.ch/fileadmin/user_upload/LLS/01_MetaNavigation/04_Fachpersonen/Verordnungsformulare/FR/verordnungsformular_4f.pdf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ter7\AppData\Local\Temp\Briefvorlage%20Palliative-1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Palliative-1.dotx</Template>
  <TotalTime>0</TotalTime>
  <Pages>2</Pages>
  <Words>755</Words>
  <Characters>4758</Characters>
  <Application>Microsoft Office Word</Application>
  <DocSecurity>4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una &gt;the ideas company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Walter7</dc:creator>
  <cp:lastModifiedBy>Lea Muntwyler</cp:lastModifiedBy>
  <cp:revision>2</cp:revision>
  <cp:lastPrinted>2020-03-17T09:53:00Z</cp:lastPrinted>
  <dcterms:created xsi:type="dcterms:W3CDTF">2020-03-27T08:26:00Z</dcterms:created>
  <dcterms:modified xsi:type="dcterms:W3CDTF">2020-03-27T08:26:00Z</dcterms:modified>
</cp:coreProperties>
</file>